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0" w:space="0" w:color="16324F"/>
          <w:left w:val="single" w:sz="0" w:space="0" w:color="16324F"/>
          <w:bottom w:val="single" w:sz="0" w:space="0" w:color="16324F"/>
          <w:right w:val="single" w:sz="0" w:space="0" w:color="16324F"/>
          <w:insideH w:val="single" w:sz="0" w:space="0" w:color="16324F"/>
          <w:insideV w:val="single" w:sz="0" w:space="0" w:color="16324F"/>
        </w:tblBorders>
      </w:tblPr>
      <w:tblGrid>
        <w:gridCol w:w="10200"/>
      </w:tblGrid>
      <w:tr>
        <w:tc>
          <w:tcPr>
            <w:tcW w:type="dxa" w:w="10200"/>
            <w:shd w:fill="16324F"/>
            <w:tcMar>
              <w:top w:w="240" w:type="dxa"/>
              <w:start w:w="220" w:type="dxa"/>
              <w:bottom w:w="220" w:type="dxa"/>
              <w:end w:w="220" w:type="dxa"/>
            </w:tcMar>
          </w:tcPr>
          <w:p>
            <w:pPr>
              <w:jc w:val="left"/>
            </w:pPr>
            <w:r>
              <w:rPr>
                <w:b/>
                <w:color w:val="FFFFFF"/>
                <w:sz w:val="22"/>
              </w:rPr>
              <w:t>AUDIT SUMMARY</w:t>
            </w:r>
          </w:p>
          <w:p>
            <w:r>
              <w:rPr>
                <w:b/>
                <w:color w:val="FFFFFF"/>
                <w:sz w:val="48"/>
              </w:rPr>
              <w:t>Přezkoumání systému managementu za rok 2025</w:t>
            </w:r>
          </w:p>
          <w:p>
            <w:r>
              <w:rPr>
                <w:color w:val="FFFFFF"/>
                <w:sz w:val="24"/>
              </w:rPr>
              <w:t>AG TRANSPORT, s.r.o. | zkrácená verze pro jednání s auditorem</w:t>
            </w:r>
          </w:p>
          <w:p>
            <w:r>
              <w:rPr>
                <w:color w:val="FFFFFF"/>
                <w:sz w:val="21"/>
              </w:rPr>
              <w:t>ISO 9001 | ISO 14001 | ISO 45001 | stav zpracování 10.03.2026</w:t>
            </w:r>
          </w:p>
          <w:p>
            <w:r>
              <w:rPr>
                <w:i/>
                <w:color w:val="E6F0F6"/>
                <w:sz w:val="20"/>
              </w:rPr>
              <w:t>Klasifikace dokumentu: Důvěrné - interní použití / auditor v režimu mlčenlivosti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400"/>
        <w:gridCol w:w="3400"/>
        <w:gridCol w:w="3400"/>
      </w:tblGrid>
      <w:tr>
        <w:tc>
          <w:tcPr>
            <w:tcW w:type="dxa" w:w="3400"/>
            <w:shd w:fill="F8FBFD"/>
            <w:tcMar>
              <w:top w:w="120" w:type="dxa"/>
              <w:start w:w="130" w:type="dxa"/>
              <w:bottom w:w="120" w:type="dxa"/>
              <w:end w:w="130" w:type="dxa"/>
            </w:tcMar>
            <w:vAlign w:val="center"/>
          </w:tcPr>
          <w:p>
            <w:r>
              <w:rPr>
                <w:b/>
                <w:color w:val="16324F"/>
                <w:sz w:val="20"/>
              </w:rPr>
              <w:t>Externí audit 2025</w:t>
            </w:r>
          </w:p>
          <w:p>
            <w:r>
              <w:rPr>
                <w:b/>
                <w:color w:val="3D5A80"/>
                <w:sz w:val="30"/>
              </w:rPr>
              <w:t>No Action Required</w:t>
            </w:r>
          </w:p>
          <w:p>
            <w:r>
              <w:rPr>
                <w:color w:val="61758A"/>
                <w:sz w:val="18"/>
              </w:rPr>
              <w:t>surveillance ISO 9001, 23.10.2025</w:t>
            </w:r>
          </w:p>
        </w:tc>
        <w:tc>
          <w:tcPr>
            <w:tcW w:type="dxa" w:w="3400"/>
            <w:shd w:fill="EEF8F4"/>
            <w:tcMar>
              <w:top w:w="120" w:type="dxa"/>
              <w:start w:w="130" w:type="dxa"/>
              <w:bottom w:w="120" w:type="dxa"/>
              <w:end w:w="130" w:type="dxa"/>
            </w:tcMar>
            <w:vAlign w:val="center"/>
          </w:tcPr>
          <w:p>
            <w:r>
              <w:rPr>
                <w:b/>
                <w:color w:val="16324F"/>
                <w:sz w:val="20"/>
              </w:rPr>
              <w:t>Tržby 2025</w:t>
            </w:r>
          </w:p>
          <w:p>
            <w:r>
              <w:rPr>
                <w:b/>
                <w:color w:val="3D5A80"/>
                <w:sz w:val="30"/>
              </w:rPr>
              <w:t>321,3 mil. Kč</w:t>
            </w:r>
          </w:p>
          <w:p>
            <w:r>
              <w:rPr>
                <w:color w:val="61758A"/>
                <w:sz w:val="18"/>
              </w:rPr>
              <w:t>předběžný údaj k 31.12.2025</w:t>
            </w:r>
          </w:p>
        </w:tc>
        <w:tc>
          <w:tcPr>
            <w:tcW w:type="dxa" w:w="3400"/>
            <w:shd w:fill="F8FBFD"/>
            <w:tcMar>
              <w:top w:w="120" w:type="dxa"/>
              <w:start w:w="130" w:type="dxa"/>
              <w:bottom w:w="120" w:type="dxa"/>
              <w:end w:w="130" w:type="dxa"/>
            </w:tcMar>
            <w:vAlign w:val="center"/>
          </w:tcPr>
          <w:p>
            <w:r>
              <w:rPr>
                <w:b/>
                <w:color w:val="16324F"/>
                <w:sz w:val="20"/>
              </w:rPr>
              <w:t>EBITDA</w:t>
            </w:r>
          </w:p>
          <w:p>
            <w:r>
              <w:rPr>
                <w:b/>
                <w:color w:val="3D5A80"/>
                <w:sz w:val="30"/>
              </w:rPr>
              <w:t>59,8 mil. Kč</w:t>
            </w:r>
          </w:p>
          <w:p>
            <w:r>
              <w:rPr>
                <w:color w:val="61758A"/>
                <w:sz w:val="18"/>
              </w:rPr>
              <w:t>vysoká manažerská vypovídací hodnota</w:t>
            </w:r>
          </w:p>
        </w:tc>
      </w:tr>
      <w:tr>
        <w:tc>
          <w:tcPr>
            <w:tcW w:type="dxa" w:w="3400"/>
            <w:shd w:fill="EEF8F4"/>
            <w:tcMar>
              <w:top w:w="120" w:type="dxa"/>
              <w:start w:w="130" w:type="dxa"/>
              <w:bottom w:w="120" w:type="dxa"/>
              <w:end w:w="130" w:type="dxa"/>
            </w:tcMar>
            <w:vAlign w:val="center"/>
          </w:tcPr>
          <w:p>
            <w:r>
              <w:rPr>
                <w:b/>
                <w:color w:val="16324F"/>
                <w:sz w:val="20"/>
              </w:rPr>
              <w:t>Scope 1 CO₂e</w:t>
            </w:r>
          </w:p>
          <w:p>
            <w:r>
              <w:rPr>
                <w:b/>
                <w:color w:val="1F8A70"/>
                <w:sz w:val="30"/>
              </w:rPr>
              <w:t>3 553,3 t</w:t>
            </w:r>
          </w:p>
          <w:p>
            <w:r>
              <w:rPr>
                <w:color w:val="61758A"/>
                <w:sz w:val="18"/>
              </w:rPr>
              <w:t>screeningový baseline 2025</w:t>
            </w:r>
          </w:p>
        </w:tc>
        <w:tc>
          <w:tcPr>
            <w:tcW w:type="dxa" w:w="3400"/>
            <w:shd w:fill="F8FBFD"/>
            <w:tcMar>
              <w:top w:w="120" w:type="dxa"/>
              <w:start w:w="130" w:type="dxa"/>
              <w:bottom w:w="120" w:type="dxa"/>
              <w:end w:w="130" w:type="dxa"/>
            </w:tcMar>
            <w:vAlign w:val="center"/>
          </w:tcPr>
          <w:p>
            <w:r>
              <w:rPr>
                <w:b/>
                <w:color w:val="16324F"/>
                <w:sz w:val="20"/>
              </w:rPr>
              <w:t>Voda / elektřina / plyn</w:t>
            </w:r>
          </w:p>
          <w:p>
            <w:r>
              <w:rPr>
                <w:b/>
                <w:color w:val="3D5A80"/>
                <w:sz w:val="30"/>
              </w:rPr>
              <w:t>288 m³ / 50,879 MWh / 76 121 kWh</w:t>
            </w:r>
          </w:p>
          <w:p>
            <w:r>
              <w:rPr>
                <w:color w:val="61758A"/>
                <w:sz w:val="18"/>
              </w:rPr>
              <w:t>souvislá enviro evidence</w:t>
            </w:r>
          </w:p>
        </w:tc>
        <w:tc>
          <w:tcPr>
            <w:tcW w:type="dxa" w:w="3400"/>
            <w:shd w:fill="EEF8F4"/>
            <w:tcMar>
              <w:top w:w="120" w:type="dxa"/>
              <w:start w:w="130" w:type="dxa"/>
              <w:bottom w:w="120" w:type="dxa"/>
              <w:end w:w="130" w:type="dxa"/>
            </w:tcMar>
            <w:vAlign w:val="center"/>
          </w:tcPr>
          <w:p>
            <w:r>
              <w:rPr>
                <w:b/>
                <w:color w:val="16324F"/>
                <w:sz w:val="20"/>
              </w:rPr>
              <w:t>Průměrný počet pracovníků</w:t>
            </w:r>
          </w:p>
          <w:p>
            <w:r>
              <w:rPr>
                <w:b/>
                <w:color w:val="3D5A80"/>
                <w:sz w:val="30"/>
              </w:rPr>
              <w:t>95</w:t>
            </w:r>
          </w:p>
          <w:p>
            <w:r>
              <w:rPr>
                <w:color w:val="61758A"/>
                <w:sz w:val="18"/>
              </w:rPr>
              <w:t>ke konci roku evidováno 96 osob</w:t>
            </w:r>
          </w:p>
        </w:tc>
      </w:tr>
    </w:tbl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10200"/>
      </w:tblGrid>
      <w:tr>
        <w:tc>
          <w:tcPr>
            <w:tcW w:type="dxa" w:w="10200"/>
            <w:shd w:fill="FBF6EE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left"/>
            </w:pPr>
            <w:r>
              <w:rPr>
                <w:b/>
                <w:color w:val="D4A373"/>
                <w:sz w:val="22"/>
              </w:rPr>
              <w:t>Klíčová auditní poznámka k ekonomickým datům 2025</w:t>
            </w:r>
          </w:p>
          <w:p>
            <w:pPr>
              <w:spacing w:before="0" w:after="0" w:line="276" w:lineRule="auto"/>
            </w:pPr>
            <w:r>
              <w:t>Ekonomické údaje za rok 2025 v této zprávě vycházejí z předběžných interních výkazů k 31.12.2025. V době zpracování ještě nebyly v plném rozsahu zohledněny účetní odpisy dlouhodobého majetku. Po uzavření účetní závěrky a po jejím ověření externím auditorem může dojít zejména k úpravě EBIT, čistého zisku, rentability a části bilančních ukazatelů. Tržby, EBITDA, cash flow a provozní objemové ukazatele mají i v této fázi dostatečnou vypovídací hodnotu pro management review.</w:t>
            </w:r>
          </w:p>
        </w:tc>
      </w:tr>
    </w:tbl>
    <w:p/>
    <w:p>
      <w:pPr>
        <w:pStyle w:val="Heading1"/>
      </w:pPr>
      <w:r>
        <w:t>1. Celkové stanovisko vedení</w:t>
      </w:r>
    </w:p>
    <w:p>
      <w:r>
        <w:t xml:space="preserve">Vedení společnosti konstatuje, že integrovaný systém managementu je k 31.12.2025 vhodný, přiměřený a účinný. </w:t>
      </w:r>
      <w:r>
        <w:rPr>
          <w:b/>
        </w:rPr>
        <w:t>Z hlediska QMS, EMS i BOZP nejsou z doložených podkladů patrné systémové nedostatky, které by ohrožovaly certifikaci nebo provozní stabilitu.</w:t>
      </w:r>
    </w:p>
    <w:p>
      <w:pPr>
        <w:pStyle w:val="ListBullet"/>
      </w:pPr>
      <w:r>
        <w:t>externí surveillance audit ISO 9001 dne 23.10.2025 skončil výsledkem „No Action Required“</w:t>
      </w:r>
    </w:p>
    <w:p>
      <w:pPr>
        <w:pStyle w:val="ListBullet"/>
      </w:pPr>
      <w:r>
        <w:t>registr právních požadavků a BOZP/PO podklady nevykazují systémové porušení souladu</w:t>
      </w:r>
    </w:p>
    <w:p>
      <w:pPr>
        <w:pStyle w:val="ListBullet"/>
      </w:pPr>
      <w:r>
        <w:t>zákaznická spokojenost zůstává silnou stránkou společnosti a dodavatelská základna je stabilní</w:t>
      </w:r>
    </w:p>
    <w:p>
      <w:pPr>
        <w:pStyle w:val="ListBullet"/>
      </w:pPr>
      <w:r>
        <w:t>nově je k dispozici souvislejší enviro datová základna a první screeningový baseline uhlíkové stopy</w:t>
      </w:r>
    </w:p>
    <w:p>
      <w:pPr>
        <w:pStyle w:val="Heading1"/>
      </w:pPr>
      <w:r>
        <w:t>2. Aktuální změny ISO norem a dopad na firmu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3400"/>
        <w:gridCol w:w="3400"/>
        <w:gridCol w:w="3400"/>
      </w:tblGrid>
      <w:tr>
        <w:trPr>
          <w:tblHeader w:val="true"/>
        </w:trPr>
        <w:tc>
          <w:tcPr>
            <w:tcW w:type="dxa" w:w="3400"/>
            <w:shd w:fill="EEF4F8"/>
          </w:tcPr>
          <w:p>
            <w:r>
              <w:rPr>
                <w:b/>
                <w:color w:val="16324F"/>
              </w:rPr>
              <w:t>Norma</w:t>
            </w:r>
          </w:p>
        </w:tc>
        <w:tc>
          <w:tcPr>
            <w:tcW w:type="dxa" w:w="3400"/>
            <w:shd w:fill="EEF4F8"/>
          </w:tcPr>
          <w:p>
            <w:r>
              <w:rPr>
                <w:b/>
                <w:color w:val="16324F"/>
              </w:rPr>
              <w:t>Co je nové</w:t>
            </w:r>
          </w:p>
        </w:tc>
        <w:tc>
          <w:tcPr>
            <w:tcW w:type="dxa" w:w="3400"/>
            <w:shd w:fill="EEF4F8"/>
          </w:tcPr>
          <w:p>
            <w:r>
              <w:rPr>
                <w:b/>
                <w:color w:val="16324F"/>
              </w:rPr>
              <w:t>Dopad na AG TRANSPORT</w:t>
            </w:r>
          </w:p>
        </w:tc>
      </w:tr>
      <w:tr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FFFFF"/>
          </w:tcPr>
          <w:p>
            <w:pPr>
              <w:spacing w:before="0" w:after="80" w:line="276" w:lineRule="auto"/>
            </w:pPr>
            <w:r>
              <w:t>ISO 9001:2015/Amd 1:2024</w:t>
            </w:r>
          </w:p>
        </w:tc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AFCFD"/>
          </w:tcPr>
          <w:p>
            <w:pPr>
              <w:spacing w:before="0" w:after="80" w:line="276" w:lineRule="auto"/>
            </w:pPr>
            <w:r>
              <w:t>Povinnost posoudit, zda je klimatická změna relevantní otázkou pro kontext organizace, a zda relevantní zainteresované strany mají klimaticky související požadavky.</w:t>
            </w:r>
          </w:p>
        </w:tc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FFFFF"/>
          </w:tcPr>
          <w:p>
            <w:pPr>
              <w:spacing w:before="0" w:after="80" w:line="276" w:lineRule="auto"/>
            </w:pPr>
            <w:r>
              <w:t>Pro firmu je změna relevantní zejména přes ceny paliv a energií, požadavky zákazníků, odolnost dodavatelského řetězce a potřebu systematické práce s provozními daty.</w:t>
            </w:r>
          </w:p>
        </w:tc>
      </w:tr>
      <w:tr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FFFFF"/>
          </w:tcPr>
          <w:p>
            <w:pPr>
              <w:spacing w:before="0" w:after="80" w:line="276" w:lineRule="auto"/>
            </w:pPr>
            <w:r>
              <w:t>ISO 14001:2015/Amd 1:2024</w:t>
            </w:r>
          </w:p>
        </w:tc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AFCFD"/>
          </w:tcPr>
          <w:p>
            <w:pPr>
              <w:spacing w:before="0" w:after="80" w:line="276" w:lineRule="auto"/>
            </w:pPr>
            <w:r>
              <w:t>Stejné klimatické doplnění v kap. 4.1 a 4.2; posiluje vazbu mezi EMS, kontextem a strategickým řízením rizik a příležitostí.</w:t>
            </w:r>
          </w:p>
        </w:tc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FFFFF"/>
          </w:tcPr>
          <w:p>
            <w:pPr>
              <w:spacing w:before="0" w:after="80" w:line="276" w:lineRule="auto"/>
            </w:pPr>
            <w:r>
              <w:t>U společnosti to podporuje formalizaci témat emisní stopy, hospodárnosti flotily, řízení zdrojů a transparentního enviro reportingu.</w:t>
            </w:r>
          </w:p>
        </w:tc>
      </w:tr>
      <w:tr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FFFFF"/>
          </w:tcPr>
          <w:p>
            <w:pPr>
              <w:spacing w:before="0" w:after="80" w:line="276" w:lineRule="auto"/>
            </w:pPr>
            <w:r>
              <w:t>ISO 45001:2018/Amd 1:2024</w:t>
            </w:r>
          </w:p>
        </w:tc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AFCFD"/>
          </w:tcPr>
          <w:p>
            <w:pPr>
              <w:spacing w:before="0" w:after="80" w:line="276" w:lineRule="auto"/>
            </w:pPr>
            <w:r>
              <w:t>Klimatická změna musí být zohledněna i ve vazbě na BOZP a relevantní očekávání zainteresovaných stran.</w:t>
            </w:r>
          </w:p>
        </w:tc>
        <w:tc>
          <w:tcPr>
            <w:tcW w:type="dxa" w:w="3400"/>
            <w:tcMar>
              <w:top w:w="100" w:type="dxa"/>
              <w:start w:w="110" w:type="dxa"/>
              <w:bottom w:w="100" w:type="dxa"/>
              <w:end w:w="110" w:type="dxa"/>
            </w:tcMar>
            <w:vAlign w:val="center"/>
            <w:shd w:fill="FFFFFF"/>
          </w:tcPr>
          <w:p>
            <w:pPr>
              <w:spacing w:before="0" w:after="80" w:line="276" w:lineRule="auto"/>
            </w:pPr>
            <w:r>
              <w:t>Pro jeřábové a dopravní činnosti je to významné přes extrémní počasí, práci za vysokých teplot, vítr, déšť, únavu řidičů a omezení bezpečného provozu.</w:t>
            </w:r>
          </w:p>
        </w:tc>
      </w:tr>
    </w:tbl>
    <w:p>
      <w:pPr/>
      <w:r>
        <w:t>Z auditního pohledu není klíčové prokazovat rozsáhlý klimatický program za každou cenu. Důležité je prokázat, že společnost toto téma vyhodnotila jako relevantní, popsala jeho vazbu na své procesy a začala pracovat s daty, která umožní postupné řízení dopadu.</w:t>
      </w:r>
    </w:p>
    <w:p>
      <w:pPr>
        <w:pStyle w:val="Heading1"/>
      </w:pPr>
      <w:r>
        <w:t>3. Environmentální management a uhlíková stopa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100"/>
        <w:gridCol w:w="5100"/>
      </w:tblGrid>
      <w:tr>
        <w:tc>
          <w:tcPr>
            <w:tcW w:type="dxa" w:w="5100"/>
            <w:shd w:fill="EEF4F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r>
              <w:rPr>
                <w:b/>
                <w:color w:val="16324F"/>
              </w:rPr>
              <w:t>Hlavní enviro data 2025</w:t>
            </w:r>
          </w:p>
        </w:tc>
        <w:tc>
          <w:tcPr>
            <w:tcW w:type="dxa" w:w="5100"/>
            <w:shd w:fill="FFFFFF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r>
              <w:t>voda 288 m³ | elektřina 50,879 MWh | plyn 76 121 kWh | PHM 1 318 058 l | AdBlue 75 951 l</w:t>
            </w:r>
          </w:p>
        </w:tc>
      </w:tr>
      <w:tr>
        <w:tc>
          <w:tcPr>
            <w:tcW w:type="dxa" w:w="5100"/>
            <w:shd w:fill="EEF4F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r>
              <w:rPr>
                <w:b/>
                <w:color w:val="16324F"/>
              </w:rPr>
              <w:t>Trend 2019–2025</w:t>
            </w:r>
          </w:p>
        </w:tc>
        <w:tc>
          <w:tcPr>
            <w:tcW w:type="dxa" w:w="5100"/>
            <w:shd w:fill="FFFFFF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r>
              <w:t>ve srovnání s rokem 2019 je patrný pokles spotřeby vody, elektřiny i PHM; interpretace však musí zohlednit objem zakázek a obchodní mix</w:t>
            </w:r>
          </w:p>
        </w:tc>
      </w:tr>
      <w:tr>
        <w:tc>
          <w:tcPr>
            <w:tcW w:type="dxa" w:w="5100"/>
            <w:shd w:fill="EEF4F8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r>
              <w:rPr>
                <w:b/>
                <w:color w:val="16324F"/>
              </w:rPr>
              <w:t>Uhlíková stopa - baseline</w:t>
            </w:r>
          </w:p>
        </w:tc>
        <w:tc>
          <w:tcPr>
            <w:tcW w:type="dxa" w:w="5100"/>
            <w:shd w:fill="FFFFFF"/>
            <w:tcMar>
              <w:top w:w="100" w:type="dxa"/>
              <w:start w:w="110" w:type="dxa"/>
              <w:bottom w:w="100" w:type="dxa"/>
              <w:end w:w="110" w:type="dxa"/>
            </w:tcMar>
          </w:tcPr>
          <w:p>
            <w:r>
              <w:t>první screeningový výpočet Scope 1 činí přibližně 3 553,3 t CO₂e; zhruba 98,6 % tvoří diesel</w:t>
            </w:r>
          </w:p>
        </w:tc>
      </w:tr>
    </w:tbl>
    <w:p/>
    <w:p>
      <w:r>
        <w:drawing>
          <wp:inline xmlns:a="http://schemas.openxmlformats.org/drawingml/2006/main" xmlns:pic="http://schemas.openxmlformats.org/drawingml/2006/picture">
            <wp:extent cx="5976000" cy="318274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env_index_2019_2025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6000" cy="318274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Trendový environmentální index 2019–2025.</w:t>
      </w:r>
    </w:p>
    <w:p>
      <w:r>
        <w:drawing>
          <wp:inline xmlns:a="http://schemas.openxmlformats.org/drawingml/2006/main" xmlns:pic="http://schemas.openxmlformats.org/drawingml/2006/picture">
            <wp:extent cx="5220000" cy="2345538"/>
            <wp:docPr id="2" name="Picture 2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carbon_2025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20000" cy="234553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Struktura přímých emisí Scope 1 za rok 2025.</w:t>
      </w:r>
    </w:p>
    <w:p>
      <w:pPr/>
      <w:r>
        <w:t>Analytické zhodnocení: z hlediska auditora je pozitivní, že společnost už nepracuje jen s kvalitativním prohlášením o environmentu, ale s konkrétními ročními daty. Největší dopad na klimatickou stopu má provoz dopravní a jeřábové techniky, nikoli kancelářské spotřeby. Správný další krok je převést stávající evidenci do pravidelného měsíčního CO₂ dashboardu a doplnit výkonové ukazatele km, mth a litry na jednotku výkonu.</w:t>
      </w:r>
    </w:p>
    <w:p>
      <w:pPr>
        <w:pStyle w:val="Heading1"/>
      </w:pPr>
      <w:r>
        <w:t>4. BOZP, právní soulad a provozní bezpečnost</w:t>
      </w:r>
    </w:p>
    <w:p>
      <w:pPr>
        <w:pStyle w:val="ListBullet"/>
      </w:pPr>
      <w:r>
        <w:t>systém BOZP je podle doložených podkladů stabilní a preventivně orientovaný</w:t>
      </w:r>
    </w:p>
    <w:p>
      <w:pPr>
        <w:pStyle w:val="ListBullet"/>
      </w:pPr>
      <w:r>
        <w:t>vyhodnocení BOZP profilu společnosti ani činnost zástupce zaměstnanců pro BOZP neukazují na závažné systémové slabiny</w:t>
      </w:r>
    </w:p>
    <w:p>
      <w:pPr>
        <w:pStyle w:val="ListBullet"/>
      </w:pPr>
      <w:r>
        <w:t>v evidenci TAGRA je za rok 2025 zaznamenán jediný sledovaný případ v prosinci; nejde o trend systémového selhání</w:t>
      </w:r>
    </w:p>
    <w:p>
      <w:pPr>
        <w:pStyle w:val="ListBullet"/>
      </w:pPr>
      <w:r>
        <w:t>doporučuje se explicitně vázat BOZP i na klimatické podmínky: vysoké teploty, vítr, déšť, bouřky a extrémní počasí při dopravě a jeřábových pracích</w:t>
      </w:r>
    </w:p>
    <w:p>
      <w:pPr/>
      <w:r>
        <w:t>Analytické zhodnocení: vazba ISO 45001/Amd 1:2024 na klima je pro AG TRANSPORT prakticky významná, protože bezpečnost provozu a práce v terénu je přímo citlivá na počasí. Formální zapracování tohoto tématu do hodnocení rizik a operativních pravidel posílí auditní přesvědčivost bez nutnosti měnit základní architekturu systému.</w:t>
      </w:r>
    </w:p>
    <w:p>
      <w:pPr>
        <w:pStyle w:val="Heading1"/>
      </w:pPr>
      <w:r>
        <w:t>5. Ekonomický vývoj a manažerská interpretace</w:t>
      </w:r>
    </w:p>
    <w:p>
      <w:r>
        <w:drawing>
          <wp:inline xmlns:a="http://schemas.openxmlformats.org/drawingml/2006/main" xmlns:pic="http://schemas.openxmlformats.org/drawingml/2006/picture">
            <wp:extent cx="6012000" cy="3172019"/>
            <wp:docPr id="3" name="Picture 3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hart_financial_10y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12000" cy="3172019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i/>
          <w:sz w:val="18"/>
        </w:rPr>
        <w:t>Ekonomický vývoj 2016–2025.</w:t>
      </w: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5100"/>
        <w:gridCol w:w="5100"/>
      </w:tblGrid>
      <w:tr>
        <w:tc>
          <w:tcPr>
            <w:tcW w:type="dxa" w:w="5100"/>
            <w:shd w:fill="EEF4F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color w:val="16324F"/>
              </w:rPr>
              <w:t>Tržby 2025</w:t>
            </w:r>
          </w:p>
        </w:tc>
        <w:tc>
          <w:tcPr>
            <w:tcW w:type="dxa" w:w="5100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t>321,3 mil. Kč</w:t>
            </w:r>
          </w:p>
        </w:tc>
      </w:tr>
      <w:tr>
        <w:tc>
          <w:tcPr>
            <w:tcW w:type="dxa" w:w="5100"/>
            <w:shd w:fill="FAFCFD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color w:val="16324F"/>
              </w:rPr>
              <w:t>EBITDA 2025</w:t>
            </w:r>
          </w:p>
        </w:tc>
        <w:tc>
          <w:tcPr>
            <w:tcW w:type="dxa" w:w="5100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t>59,8 mil. Kč</w:t>
            </w:r>
          </w:p>
        </w:tc>
      </w:tr>
      <w:tr>
        <w:tc>
          <w:tcPr>
            <w:tcW w:type="dxa" w:w="5100"/>
            <w:shd w:fill="EEF4F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color w:val="16324F"/>
              </w:rPr>
              <w:t>Zisk po zdanění 2025</w:t>
            </w:r>
          </w:p>
        </w:tc>
        <w:tc>
          <w:tcPr>
            <w:tcW w:type="dxa" w:w="5100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t>47,6 mil. Kč - předběžný údaj</w:t>
            </w:r>
          </w:p>
        </w:tc>
      </w:tr>
      <w:tr>
        <w:tc>
          <w:tcPr>
            <w:tcW w:type="dxa" w:w="5100"/>
            <w:shd w:fill="FAFCFD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color w:val="16324F"/>
              </w:rPr>
              <w:t>Rychlá / běžná likvidita</w:t>
            </w:r>
          </w:p>
        </w:tc>
        <w:tc>
          <w:tcPr>
            <w:tcW w:type="dxa" w:w="5100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t>1,96 / 1,99</w:t>
            </w:r>
          </w:p>
        </w:tc>
      </w:tr>
      <w:tr>
        <w:tc>
          <w:tcPr>
            <w:tcW w:type="dxa" w:w="5100"/>
            <w:shd w:fill="EEF4F8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rPr>
                <w:b/>
                <w:color w:val="16324F"/>
              </w:rPr>
              <w:t>Průměrný počet pracovníků</w:t>
            </w:r>
          </w:p>
        </w:tc>
        <w:tc>
          <w:tcPr>
            <w:tcW w:type="dxa" w:w="5100"/>
            <w:shd w:fill="FFFFFF"/>
            <w:tcMar>
              <w:top w:w="90" w:type="dxa"/>
              <w:start w:w="110" w:type="dxa"/>
              <w:bottom w:w="90" w:type="dxa"/>
              <w:end w:w="110" w:type="dxa"/>
            </w:tcMar>
          </w:tcPr>
          <w:p>
            <w:r>
              <w:t>95</w:t>
            </w:r>
          </w:p>
        </w:tc>
      </w:tr>
    </w:tbl>
    <w:p>
      <w:pPr/>
      <w:r>
        <w:t>Analytické zhodnocení: rok 2025 představuje velmi silný provozní rok, zejména z hlediska tržeb, EBITDA a cash flow. Z auditního pohledu je však nutné transparentně sdělit, že finální čistý zisk a některé bilanční poměry mohou být po zaúčtování odpisů a po uzavření účetní závěrky upraveny. Pro management review to neoslabuje závěr, že firma vstoupila do roku 2026 v lepší ekonomické kondici než v předchozích letech.</w:t>
      </w:r>
    </w:p>
    <w:p>
      <w:pPr>
        <w:pStyle w:val="Heading1"/>
      </w:pPr>
      <w:r>
        <w:t>6. Citlivost a důvěrnost údajů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  <w:tblBorders>
          <w:top w:val="single" w:sz="4" w:space="0" w:color="D9E2EC"/>
          <w:left w:val="single" w:sz="4" w:space="0" w:color="D9E2EC"/>
          <w:bottom w:val="single" w:sz="4" w:space="0" w:color="D9E2EC"/>
          <w:right w:val="single" w:sz="4" w:space="0" w:color="D9E2EC"/>
          <w:insideH w:val="single" w:sz="4" w:space="0" w:color="D9E2EC"/>
          <w:insideV w:val="single" w:sz="4" w:space="0" w:color="D9E2EC"/>
        </w:tblBorders>
      </w:tblPr>
      <w:tblGrid>
        <w:gridCol w:w="10200"/>
      </w:tblGrid>
      <w:tr>
        <w:tc>
          <w:tcPr>
            <w:tcW w:type="dxa" w:w="10200"/>
            <w:shd w:fill="EEF4F8"/>
            <w:tcMar>
              <w:top w:w="130" w:type="dxa"/>
              <w:start w:w="150" w:type="dxa"/>
              <w:bottom w:w="130" w:type="dxa"/>
              <w:end w:w="150" w:type="dxa"/>
            </w:tcMar>
          </w:tcPr>
          <w:p>
            <w:pPr>
              <w:jc w:val="left"/>
            </w:pPr>
            <w:r>
              <w:rPr>
                <w:b/>
                <w:color w:val="16324F"/>
                <w:sz w:val="22"/>
              </w:rPr>
              <w:t>Řízené nakládání s dokumentem</w:t>
            </w:r>
          </w:p>
          <w:p>
            <w:pPr>
              <w:spacing w:before="0" w:after="0" w:line="276" w:lineRule="auto"/>
            </w:pPr>
            <w:r>
              <w:t>Tato zkrácená zpráva i plná verze obsahují obchodně citlivé informace o výkonnosti, ziskovosti, koncentraci odběratelů, dodavatelské základně, spotřebách zdrojů a personální kapacitě. Dokument je určen pro vedení společnosti, vlastníky, pověřené zaměstnance a pro certifikační či auditorské účely v režimu důvěrnosti. Pro sdílení mimo tento okruh se doporučuje použít redigovanou verzi s anonymizací partnerů a s omezením detailních ekonomických a personálních dat.</w:t>
            </w:r>
          </w:p>
        </w:tc>
      </w:tr>
    </w:tbl>
    <w:p/>
    <w:p>
      <w:pPr>
        <w:pStyle w:val="Heading1"/>
      </w:pPr>
      <w:r>
        <w:t>7. Doporučená rozhodnutí vedení pro rok 2026</w:t>
      </w:r>
    </w:p>
    <w:p>
      <w:pPr>
        <w:pStyle w:val="ListBullet"/>
      </w:pPr>
      <w:r>
        <w:t>formálně zapracovat klimatickou změnu do kontextu organizace, zainteresovaných stran a přezkoumání managementem</w:t>
      </w:r>
    </w:p>
    <w:p>
      <w:pPr>
        <w:pStyle w:val="ListBullet"/>
      </w:pPr>
      <w:r>
        <w:t>zavést pravidelný měsíční reporting CO₂ z dat PHM, AdBlue, plynu a elektřiny</w:t>
      </w:r>
    </w:p>
    <w:p>
      <w:pPr>
        <w:pStyle w:val="ListBullet"/>
      </w:pPr>
      <w:r>
        <w:t>po uzavření účetní závěrky aktualizovat ekonomickou část plné zprávy a potvrdit finální ukazatele roku 2025</w:t>
      </w:r>
    </w:p>
    <w:p>
      <w:pPr>
        <w:pStyle w:val="ListBullet"/>
      </w:pPr>
      <w:r>
        <w:t>při nejbližší revizi politiky doplnit závazek k efektivnímu využívání zdrojů a transparentnímu sledování emisní stopy</w:t>
      </w:r>
    </w:p>
    <w:p>
      <w:pPr>
        <w:pStyle w:val="ListBullet"/>
      </w:pPr>
      <w:r>
        <w:t>sjednotit důkazní stopu CAPA pro environmentální incidenty a provozní odchylky</w:t>
      </w:r>
    </w:p>
    <w:sectPr w:rsidR="00FC693F" w:rsidRPr="0006063C" w:rsidSect="00034616">
      <w:footerReference w:type="default" r:id="rId12"/>
      <w:pgSz w:w="12240" w:h="15840"/>
      <w:pgMar w:top="1020" w:right="1020" w:bottom="907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1758A"/>
        <w:sz w:val="16"/>
      </w:rPr>
      <w:t>Důvěrné - interní použití / audit summary pro certifikační a auditorské účely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Calibri" w:hAnsi="Calibri"/>
      <w:b/>
      <w:bCs/>
      <w:color w:val="16324F"/>
      <w:sz w:val="3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Calibri" w:hAnsi="Calibri"/>
      <w:b/>
      <w:bCs/>
      <w:color w:val="3D5A80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Calibri" w:hAnsi="Calibri"/>
      <w:color w:val="16324F"/>
      <w:spacing w:val="5"/>
      <w:kern w:val="28"/>
      <w:sz w:val="48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Calibri" w:hAnsi="Calibri"/>
      <w:i/>
      <w:iCs/>
      <w:color w:val="61758A"/>
      <w:spacing w:val="15"/>
      <w:sz w:val="2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Audit Summary - Přezkoumání systému managementu 2025</dc:title>
  <dc:subject>Zkrácená verze pro jednání s auditorem</dc:subject>
  <dc:creator>OpenAI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